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6D" w:rsidRPr="00175E0F" w:rsidRDefault="0060596D" w:rsidP="006059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E0F">
        <w:rPr>
          <w:rFonts w:ascii="Times New Roman" w:hAnsi="Times New Roman" w:cs="Times New Roman"/>
          <w:b/>
        </w:rPr>
        <w:t>МУНИЦИПАЛЬНОЕ БЮДЖЕТНОЕ УЧРЕЖДЕНИЕ</w:t>
      </w:r>
    </w:p>
    <w:p w:rsidR="0060596D" w:rsidRPr="00175E0F" w:rsidRDefault="0060596D" w:rsidP="006059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E0F">
        <w:rPr>
          <w:rFonts w:ascii="Times New Roman" w:hAnsi="Times New Roman" w:cs="Times New Roman"/>
          <w:b/>
        </w:rPr>
        <w:t>«КАНДАЛАКШСКАЯ ЦЕНТРАЛИЗОВАННАЯ БИБЛИОТЕЧНАЯ СИСТЕМА»</w:t>
      </w:r>
    </w:p>
    <w:p w:rsidR="0060596D" w:rsidRPr="00175E0F" w:rsidRDefault="0060596D" w:rsidP="0060596D">
      <w:pPr>
        <w:spacing w:after="0" w:line="240" w:lineRule="auto"/>
        <w:rPr>
          <w:rFonts w:ascii="Times New Roman" w:hAnsi="Times New Roman" w:cs="Times New Roman"/>
          <w:b/>
        </w:rPr>
      </w:pPr>
    </w:p>
    <w:p w:rsidR="0060596D" w:rsidRPr="00175E0F" w:rsidRDefault="0060596D" w:rsidP="006059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75E0F">
        <w:rPr>
          <w:rFonts w:ascii="Times New Roman" w:hAnsi="Times New Roman" w:cs="Times New Roman"/>
          <w:sz w:val="18"/>
          <w:szCs w:val="18"/>
        </w:rPr>
        <w:t>184056, Мурманская обл., г. Кандалакша, ул. Первомайская, д. 40;</w:t>
      </w:r>
    </w:p>
    <w:p w:rsidR="0060596D" w:rsidRPr="00175E0F" w:rsidRDefault="0060596D" w:rsidP="006059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75E0F">
        <w:rPr>
          <w:rFonts w:ascii="Times New Roman" w:hAnsi="Times New Roman" w:cs="Times New Roman"/>
          <w:sz w:val="18"/>
          <w:szCs w:val="18"/>
        </w:rPr>
        <w:t>тел./факс 8-815-33-9-25-62; е-</w:t>
      </w:r>
      <w:r w:rsidRPr="00175E0F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75E0F">
        <w:rPr>
          <w:rFonts w:ascii="Times New Roman" w:hAnsi="Times New Roman" w:cs="Times New Roman"/>
          <w:sz w:val="18"/>
          <w:szCs w:val="18"/>
        </w:rPr>
        <w:t>:</w:t>
      </w:r>
      <w:r w:rsidRPr="00175E0F">
        <w:rPr>
          <w:rFonts w:ascii="Times New Roman" w:hAnsi="Times New Roman" w:cs="Times New Roman"/>
          <w:sz w:val="18"/>
          <w:szCs w:val="18"/>
          <w:lang w:val="en-US"/>
        </w:rPr>
        <w:t>pushk</w:t>
      </w:r>
      <w:r w:rsidRPr="00175E0F">
        <w:rPr>
          <w:rFonts w:ascii="Times New Roman" w:hAnsi="Times New Roman" w:cs="Times New Roman"/>
          <w:sz w:val="18"/>
          <w:szCs w:val="18"/>
        </w:rPr>
        <w:t>-</w:t>
      </w:r>
      <w:r w:rsidRPr="00175E0F">
        <w:rPr>
          <w:rFonts w:ascii="Times New Roman" w:hAnsi="Times New Roman" w:cs="Times New Roman"/>
          <w:sz w:val="18"/>
          <w:szCs w:val="18"/>
          <w:lang w:val="en-US"/>
        </w:rPr>
        <w:t>elena</w:t>
      </w:r>
      <w:r w:rsidRPr="00175E0F">
        <w:rPr>
          <w:rFonts w:ascii="Times New Roman" w:hAnsi="Times New Roman" w:cs="Times New Roman"/>
          <w:sz w:val="18"/>
          <w:szCs w:val="18"/>
        </w:rPr>
        <w:t>@</w:t>
      </w:r>
      <w:r w:rsidRPr="00175E0F">
        <w:rPr>
          <w:rFonts w:ascii="Times New Roman" w:hAnsi="Times New Roman" w:cs="Times New Roman"/>
          <w:sz w:val="18"/>
          <w:szCs w:val="18"/>
          <w:lang w:val="en-US"/>
        </w:rPr>
        <w:t>yandex</w:t>
      </w:r>
      <w:r w:rsidRPr="00175E0F">
        <w:rPr>
          <w:rFonts w:ascii="Times New Roman" w:hAnsi="Times New Roman" w:cs="Times New Roman"/>
          <w:sz w:val="18"/>
          <w:szCs w:val="18"/>
        </w:rPr>
        <w:t>.</w:t>
      </w:r>
      <w:r w:rsidRPr="00175E0F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60596D" w:rsidRPr="00175E0F" w:rsidRDefault="0060596D" w:rsidP="0060596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75E0F">
        <w:rPr>
          <w:rFonts w:ascii="Times New Roman" w:eastAsia="Times New Roman" w:hAnsi="Times New Roman" w:cs="Times New Roman"/>
          <w:bCs/>
          <w:sz w:val="18"/>
          <w:szCs w:val="18"/>
        </w:rPr>
        <w:t>ОКПО 88025982, ИНН 5102050761, КПП 510201001</w:t>
      </w:r>
    </w:p>
    <w:p w:rsidR="0060596D" w:rsidRPr="00175E0F" w:rsidRDefault="0060596D" w:rsidP="0060596D">
      <w:pPr>
        <w:spacing w:after="0" w:line="240" w:lineRule="auto"/>
        <w:rPr>
          <w:rFonts w:ascii="Times New Roman" w:hAnsi="Times New Roman" w:cs="Times New Roman"/>
          <w:b/>
        </w:rPr>
      </w:pPr>
      <w:r w:rsidRPr="00175E0F">
        <w:rPr>
          <w:rFonts w:ascii="Times New Roman" w:hAnsi="Times New Roman" w:cs="Times New Roman"/>
          <w:b/>
        </w:rPr>
        <w:t>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____________________________________________________</w:t>
      </w:r>
      <w:r w:rsidRPr="00175E0F">
        <w:rPr>
          <w:rFonts w:ascii="Times New Roman" w:hAnsi="Times New Roman" w:cs="Times New Roman"/>
          <w:b/>
        </w:rPr>
        <w:t>________</w:t>
      </w:r>
    </w:p>
    <w:p w:rsidR="0060596D" w:rsidRPr="00175E0F" w:rsidRDefault="0060596D" w:rsidP="00605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page" w:horzAnchor="margin" w:tblpY="3991"/>
        <w:tblW w:w="14709" w:type="dxa"/>
        <w:tblLook w:val="04A0" w:firstRow="1" w:lastRow="0" w:firstColumn="1" w:lastColumn="0" w:noHBand="0" w:noVBand="1"/>
      </w:tblPr>
      <w:tblGrid>
        <w:gridCol w:w="8472"/>
        <w:gridCol w:w="6237"/>
      </w:tblGrid>
      <w:tr w:rsidR="0060596D" w:rsidRPr="00175E0F" w:rsidTr="00F97A88">
        <w:tc>
          <w:tcPr>
            <w:tcW w:w="8472" w:type="dxa"/>
            <w:hideMark/>
          </w:tcPr>
          <w:p w:rsidR="0060596D" w:rsidRPr="00175E0F" w:rsidRDefault="0060596D" w:rsidP="00F97A8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</w:rPr>
            </w:pPr>
            <w:r w:rsidRPr="00175E0F">
              <w:rPr>
                <w:rFonts w:ascii="Times New Roman" w:hAnsi="Times New Roman" w:cs="Times New Roman"/>
              </w:rPr>
              <w:t xml:space="preserve">   №  </w:t>
            </w:r>
            <w:r>
              <w:rPr>
                <w:rFonts w:ascii="Times New Roman" w:hAnsi="Times New Roman" w:cs="Times New Roman"/>
              </w:rPr>
              <w:t>82</w:t>
            </w:r>
            <w:r w:rsidRPr="00175E0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06.04</w:t>
            </w:r>
            <w:r w:rsidRPr="00175E0F"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6237" w:type="dxa"/>
            <w:hideMark/>
          </w:tcPr>
          <w:p w:rsidR="0060596D" w:rsidRPr="00175E0F" w:rsidRDefault="0060596D" w:rsidP="00F9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5E0F">
              <w:rPr>
                <w:rFonts w:ascii="Times New Roman" w:hAnsi="Times New Roman" w:cs="Times New Roman"/>
              </w:rPr>
              <w:t>Начальнику отдела по культуре и делам молодежи администрации муниципального образования городское поселение Кандалакша Кандалакшского района</w:t>
            </w:r>
          </w:p>
          <w:p w:rsidR="0060596D" w:rsidRPr="00175E0F" w:rsidRDefault="0060596D" w:rsidP="00F97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E0F">
              <w:rPr>
                <w:rFonts w:ascii="Times New Roman" w:hAnsi="Times New Roman" w:cs="Times New Roman"/>
              </w:rPr>
              <w:t>С.В. Луневой</w:t>
            </w:r>
          </w:p>
        </w:tc>
      </w:tr>
    </w:tbl>
    <w:p w:rsidR="00F97A88" w:rsidRDefault="00F97A88" w:rsidP="006059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596D" w:rsidRDefault="00691E42" w:rsidP="00605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42">
        <w:rPr>
          <w:rFonts w:ascii="Times New Roman" w:hAnsi="Times New Roman" w:cs="Times New Roman"/>
          <w:b/>
          <w:sz w:val="24"/>
          <w:szCs w:val="24"/>
        </w:rPr>
        <w:t>Отчет о</w:t>
      </w:r>
      <w:r w:rsidR="0039000E">
        <w:rPr>
          <w:rFonts w:ascii="Times New Roman" w:hAnsi="Times New Roman" w:cs="Times New Roman"/>
          <w:b/>
          <w:sz w:val="24"/>
          <w:szCs w:val="24"/>
        </w:rPr>
        <w:t xml:space="preserve"> выполнении Плана мероприятий («</w:t>
      </w:r>
      <w:r w:rsidRPr="00691E42">
        <w:rPr>
          <w:rFonts w:ascii="Times New Roman" w:hAnsi="Times New Roman" w:cs="Times New Roman"/>
          <w:b/>
          <w:sz w:val="24"/>
          <w:szCs w:val="24"/>
        </w:rPr>
        <w:t>дорожной карты</w:t>
      </w:r>
      <w:r w:rsidR="0039000E">
        <w:rPr>
          <w:rFonts w:ascii="Times New Roman" w:hAnsi="Times New Roman" w:cs="Times New Roman"/>
          <w:b/>
          <w:sz w:val="24"/>
          <w:szCs w:val="24"/>
        </w:rPr>
        <w:t>»</w:t>
      </w:r>
      <w:r w:rsidRPr="00691E4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97A88" w:rsidRDefault="00691E42" w:rsidP="00F97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42">
        <w:rPr>
          <w:rFonts w:ascii="Times New Roman" w:hAnsi="Times New Roman" w:cs="Times New Roman"/>
          <w:b/>
          <w:sz w:val="24"/>
          <w:szCs w:val="24"/>
        </w:rPr>
        <w:t xml:space="preserve">направленный на повышение </w:t>
      </w:r>
      <w:r w:rsidR="0039000E">
        <w:rPr>
          <w:rFonts w:ascii="Times New Roman" w:hAnsi="Times New Roman" w:cs="Times New Roman"/>
          <w:b/>
          <w:sz w:val="24"/>
          <w:szCs w:val="24"/>
        </w:rPr>
        <w:t>эффективности деятельности МБУ «</w:t>
      </w:r>
      <w:r w:rsidRPr="00691E42">
        <w:rPr>
          <w:rFonts w:ascii="Times New Roman" w:hAnsi="Times New Roman" w:cs="Times New Roman"/>
          <w:b/>
          <w:sz w:val="24"/>
          <w:szCs w:val="24"/>
        </w:rPr>
        <w:t>Кандалакшская ЦБС</w:t>
      </w:r>
      <w:r w:rsidR="0039000E">
        <w:rPr>
          <w:rFonts w:ascii="Times New Roman" w:hAnsi="Times New Roman" w:cs="Times New Roman"/>
          <w:b/>
          <w:sz w:val="24"/>
          <w:szCs w:val="24"/>
        </w:rPr>
        <w:t>»</w:t>
      </w:r>
    </w:p>
    <w:p w:rsidR="00F97A88" w:rsidRDefault="00F97A88" w:rsidP="00605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96D" w:rsidRPr="0060596D" w:rsidRDefault="0060596D" w:rsidP="00691E42">
      <w:pPr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1E42" w:rsidRDefault="00691E42" w:rsidP="0060596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Целевые показа</w:t>
      </w:r>
      <w:r w:rsidR="0039000E">
        <w:rPr>
          <w:rFonts w:ascii="Times New Roman" w:hAnsi="Times New Roman" w:cs="Times New Roman"/>
          <w:b/>
          <w:sz w:val="24"/>
          <w:szCs w:val="24"/>
        </w:rPr>
        <w:t>тели (индикаторы) развития МБУ «</w:t>
      </w:r>
      <w:r>
        <w:rPr>
          <w:rFonts w:ascii="Times New Roman" w:hAnsi="Times New Roman" w:cs="Times New Roman"/>
          <w:b/>
          <w:sz w:val="24"/>
          <w:szCs w:val="24"/>
        </w:rPr>
        <w:t>Кандалакшская ЦБС</w:t>
      </w:r>
      <w:r w:rsidR="0039000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меры, обеспечивающие их достижение</w:t>
      </w:r>
    </w:p>
    <w:p w:rsidR="00691E42" w:rsidRPr="00BC04AA" w:rsidRDefault="00691E42" w:rsidP="006059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A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библиографических записей в электронных каталогах библиотек городского поселения Кандалакша Кандалакшского района Мурманской области, в т.ч. включенных в Сводный электронный каталог библиотек Мурманской области (по сравнению с предыдущим годом):</w:t>
      </w:r>
    </w:p>
    <w:p w:rsidR="00691E42" w:rsidRPr="00691E42" w:rsidRDefault="00691E42" w:rsidP="0060596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91E42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BC04AA">
        <w:rPr>
          <w:rFonts w:ascii="Times New Roman" w:hAnsi="Times New Roman" w:cs="Times New Roman"/>
          <w:i/>
          <w:sz w:val="24"/>
          <w:szCs w:val="24"/>
        </w:rPr>
        <w:t xml:space="preserve">в процентах, </w:t>
      </w:r>
      <w:r w:rsidRPr="00691E42">
        <w:rPr>
          <w:rFonts w:ascii="Times New Roman" w:eastAsia="Calibri" w:hAnsi="Times New Roman" w:cs="Times New Roman"/>
          <w:i/>
          <w:sz w:val="24"/>
          <w:szCs w:val="24"/>
        </w:rPr>
        <w:t xml:space="preserve"> натуральных показателях)</w:t>
      </w:r>
    </w:p>
    <w:tbl>
      <w:tblPr>
        <w:tblW w:w="136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  <w:gridCol w:w="1418"/>
        <w:gridCol w:w="1418"/>
        <w:gridCol w:w="1417"/>
        <w:gridCol w:w="1276"/>
        <w:gridCol w:w="1134"/>
        <w:gridCol w:w="993"/>
        <w:gridCol w:w="1559"/>
        <w:gridCol w:w="1417"/>
      </w:tblGrid>
      <w:tr w:rsidR="00691E42" w:rsidRPr="00691E42" w:rsidTr="00093602">
        <w:tc>
          <w:tcPr>
            <w:tcW w:w="1559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418" w:type="dxa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691E42" w:rsidRPr="00691E42" w:rsidTr="00093602">
        <w:tc>
          <w:tcPr>
            <w:tcW w:w="1559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91E42" w:rsidRPr="00691E42" w:rsidTr="00093602">
        <w:tc>
          <w:tcPr>
            <w:tcW w:w="1559" w:type="dxa"/>
            <w:shd w:val="clear" w:color="auto" w:fill="auto"/>
          </w:tcPr>
          <w:p w:rsidR="00691E42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8" w:type="dxa"/>
            <w:shd w:val="clear" w:color="auto" w:fill="auto"/>
          </w:tcPr>
          <w:p w:rsid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18" w:type="dxa"/>
            <w:shd w:val="clear" w:color="auto" w:fill="auto"/>
          </w:tcPr>
          <w:p w:rsid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shd w:val="clear" w:color="auto" w:fill="auto"/>
          </w:tcPr>
          <w:p w:rsid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  <w:shd w:val="clear" w:color="auto" w:fill="auto"/>
          </w:tcPr>
          <w:p w:rsid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</w:tcPr>
          <w:p w:rsidR="00691E42" w:rsidRPr="0009360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559" w:type="dxa"/>
            <w:shd w:val="clear" w:color="auto" w:fill="auto"/>
          </w:tcPr>
          <w:p w:rsidR="00691E42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7" w:type="dxa"/>
            <w:shd w:val="clear" w:color="auto" w:fill="auto"/>
          </w:tcPr>
          <w:p w:rsidR="00691E42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691E42" w:rsidRPr="00691E42" w:rsidTr="00093602">
        <w:tc>
          <w:tcPr>
            <w:tcW w:w="1559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sz w:val="24"/>
                <w:szCs w:val="24"/>
              </w:rPr>
              <w:t>8898</w:t>
            </w:r>
          </w:p>
        </w:tc>
        <w:tc>
          <w:tcPr>
            <w:tcW w:w="1418" w:type="dxa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sz w:val="24"/>
                <w:szCs w:val="24"/>
              </w:rPr>
              <w:t>9898</w:t>
            </w:r>
          </w:p>
        </w:tc>
        <w:tc>
          <w:tcPr>
            <w:tcW w:w="1418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10898</w:t>
            </w:r>
          </w:p>
        </w:tc>
        <w:tc>
          <w:tcPr>
            <w:tcW w:w="1418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11633</w:t>
            </w:r>
          </w:p>
        </w:tc>
        <w:tc>
          <w:tcPr>
            <w:tcW w:w="1417" w:type="dxa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sz w:val="24"/>
                <w:szCs w:val="24"/>
              </w:rPr>
              <w:t>11901</w:t>
            </w:r>
          </w:p>
        </w:tc>
        <w:tc>
          <w:tcPr>
            <w:tcW w:w="1276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14469</w:t>
            </w:r>
          </w:p>
        </w:tc>
        <w:tc>
          <w:tcPr>
            <w:tcW w:w="1134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sz w:val="24"/>
                <w:szCs w:val="24"/>
              </w:rPr>
              <w:t>12901</w:t>
            </w:r>
          </w:p>
        </w:tc>
        <w:tc>
          <w:tcPr>
            <w:tcW w:w="993" w:type="dxa"/>
          </w:tcPr>
          <w:p w:rsidR="00691E42" w:rsidRPr="0009360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b/>
                <w:sz w:val="24"/>
                <w:szCs w:val="24"/>
              </w:rPr>
              <w:t>14875</w:t>
            </w:r>
          </w:p>
        </w:tc>
        <w:tc>
          <w:tcPr>
            <w:tcW w:w="1559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sz w:val="24"/>
                <w:szCs w:val="24"/>
              </w:rPr>
              <w:t>13894</w:t>
            </w:r>
          </w:p>
        </w:tc>
        <w:tc>
          <w:tcPr>
            <w:tcW w:w="1417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sz w:val="24"/>
                <w:szCs w:val="24"/>
              </w:rPr>
              <w:t>14894</w:t>
            </w:r>
          </w:p>
        </w:tc>
      </w:tr>
    </w:tbl>
    <w:p w:rsidR="00691E42" w:rsidRDefault="00691E42" w:rsidP="00605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4AA" w:rsidRPr="00093602" w:rsidRDefault="00BC04AA" w:rsidP="006059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3602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8512A2">
        <w:rPr>
          <w:rFonts w:ascii="Times New Roman" w:hAnsi="Times New Roman" w:cs="Times New Roman"/>
          <w:b/>
          <w:i/>
          <w:sz w:val="24"/>
          <w:szCs w:val="24"/>
        </w:rPr>
        <w:t xml:space="preserve">итогам 1 </w:t>
      </w:r>
      <w:r w:rsidRPr="00093602">
        <w:rPr>
          <w:rFonts w:ascii="Times New Roman" w:hAnsi="Times New Roman" w:cs="Times New Roman"/>
          <w:b/>
          <w:i/>
          <w:sz w:val="24"/>
          <w:szCs w:val="24"/>
        </w:rPr>
        <w:t xml:space="preserve"> квартала данный индикатор выполнен на 133%.</w:t>
      </w:r>
    </w:p>
    <w:p w:rsidR="00BC04AA" w:rsidRPr="0060596D" w:rsidRDefault="00BC04AA" w:rsidP="006059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691E42" w:rsidRPr="003E2134" w:rsidRDefault="00691E42" w:rsidP="006059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04AA">
        <w:rPr>
          <w:rFonts w:ascii="Times New Roman" w:eastAsia="Calibri" w:hAnsi="Times New Roman" w:cs="Times New Roman"/>
          <w:sz w:val="24"/>
          <w:szCs w:val="24"/>
        </w:rPr>
        <w:t>сохранение доли библиотек, подключенных к сети «Интернет», в общем количестве библиотек муниципального образования городское поселение К</w:t>
      </w:r>
      <w:r w:rsidR="008512A2">
        <w:rPr>
          <w:rFonts w:ascii="Times New Roman" w:eastAsia="Calibri" w:hAnsi="Times New Roman" w:cs="Times New Roman"/>
          <w:sz w:val="24"/>
          <w:szCs w:val="24"/>
        </w:rPr>
        <w:t xml:space="preserve">андалакша Кандалакшского района: </w:t>
      </w:r>
      <w:r w:rsidR="008512A2" w:rsidRPr="003E2134">
        <w:rPr>
          <w:rFonts w:ascii="Times New Roman" w:eastAsia="Calibri" w:hAnsi="Times New Roman" w:cs="Times New Roman"/>
          <w:b/>
          <w:sz w:val="24"/>
          <w:szCs w:val="24"/>
        </w:rPr>
        <w:t>значение индикатора составляет 100%.</w:t>
      </w:r>
    </w:p>
    <w:p w:rsidR="003E2134" w:rsidRPr="00BC04AA" w:rsidRDefault="003E2134" w:rsidP="0060596D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E42" w:rsidRPr="00BC04AA" w:rsidRDefault="00691E42" w:rsidP="006059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4AA">
        <w:rPr>
          <w:rFonts w:ascii="Times New Roman" w:eastAsia="Calibri" w:hAnsi="Times New Roman" w:cs="Times New Roman"/>
          <w:sz w:val="24"/>
          <w:szCs w:val="24"/>
        </w:rPr>
        <w:t>увеличение посещаемости библиотек городского поселения Кандалакша Кандалакшского района (по сравнению с предыдущим годом):</w:t>
      </w:r>
    </w:p>
    <w:p w:rsidR="00BC04AA" w:rsidRPr="00691E42" w:rsidRDefault="00691E42" w:rsidP="0060596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91E42">
        <w:rPr>
          <w:rFonts w:ascii="Times New Roman" w:eastAsia="Calibri" w:hAnsi="Times New Roman" w:cs="Times New Roman"/>
          <w:i/>
          <w:sz w:val="24"/>
          <w:szCs w:val="24"/>
        </w:rPr>
        <w:t>(в натуральных показателях)</w:t>
      </w:r>
    </w:p>
    <w:tbl>
      <w:tblPr>
        <w:tblW w:w="136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5"/>
        <w:gridCol w:w="1560"/>
        <w:gridCol w:w="1418"/>
        <w:gridCol w:w="1134"/>
        <w:gridCol w:w="1418"/>
        <w:gridCol w:w="1275"/>
        <w:gridCol w:w="1134"/>
        <w:gridCol w:w="1276"/>
        <w:gridCol w:w="1418"/>
      </w:tblGrid>
      <w:tr w:rsidR="00BC04AA" w:rsidRPr="00691E42" w:rsidTr="00093602">
        <w:tc>
          <w:tcPr>
            <w:tcW w:w="1701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275" w:type="dxa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BC04AA" w:rsidRPr="00691E42" w:rsidTr="00093602">
        <w:tc>
          <w:tcPr>
            <w:tcW w:w="1701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5" w:type="dxa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5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BC04AA" w:rsidRPr="00691E42" w:rsidTr="00093602">
        <w:tc>
          <w:tcPr>
            <w:tcW w:w="1701" w:type="dxa"/>
            <w:shd w:val="clear" w:color="auto" w:fill="auto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145 637</w:t>
            </w:r>
          </w:p>
        </w:tc>
        <w:tc>
          <w:tcPr>
            <w:tcW w:w="1275" w:type="dxa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139 958</w:t>
            </w:r>
          </w:p>
        </w:tc>
        <w:tc>
          <w:tcPr>
            <w:tcW w:w="1560" w:type="dxa"/>
            <w:shd w:val="clear" w:color="auto" w:fill="auto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145 637</w:t>
            </w:r>
          </w:p>
        </w:tc>
        <w:tc>
          <w:tcPr>
            <w:tcW w:w="1418" w:type="dxa"/>
            <w:shd w:val="clear" w:color="auto" w:fill="auto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145637</w:t>
            </w:r>
          </w:p>
        </w:tc>
        <w:tc>
          <w:tcPr>
            <w:tcW w:w="1134" w:type="dxa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152 919</w:t>
            </w:r>
          </w:p>
        </w:tc>
        <w:tc>
          <w:tcPr>
            <w:tcW w:w="1418" w:type="dxa"/>
            <w:shd w:val="clear" w:color="auto" w:fill="auto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163236</w:t>
            </w:r>
          </w:p>
        </w:tc>
        <w:tc>
          <w:tcPr>
            <w:tcW w:w="1275" w:type="dxa"/>
            <w:shd w:val="clear" w:color="auto" w:fill="auto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134" w:type="dxa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b/>
                <w:sz w:val="24"/>
                <w:szCs w:val="24"/>
              </w:rPr>
              <w:t>34426</w:t>
            </w:r>
          </w:p>
        </w:tc>
        <w:tc>
          <w:tcPr>
            <w:tcW w:w="1276" w:type="dxa"/>
            <w:shd w:val="clear" w:color="auto" w:fill="auto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167 483</w:t>
            </w:r>
          </w:p>
        </w:tc>
        <w:tc>
          <w:tcPr>
            <w:tcW w:w="1418" w:type="dxa"/>
            <w:shd w:val="clear" w:color="auto" w:fill="auto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174 764</w:t>
            </w:r>
          </w:p>
        </w:tc>
      </w:tr>
    </w:tbl>
    <w:p w:rsidR="00BC04AA" w:rsidRDefault="00BC04AA" w:rsidP="006059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C04AA" w:rsidRPr="0060596D" w:rsidRDefault="0060596D" w:rsidP="0060596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состоянию на 20.03.2016 </w:t>
      </w:r>
      <w:r w:rsidR="00BC04AA" w:rsidRPr="0060596D">
        <w:rPr>
          <w:rFonts w:ascii="Times New Roman" w:hAnsi="Times New Roman" w:cs="Times New Roman"/>
          <w:i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(при заполнении отчета о выполнении «дорожной карты» для Комитета по культуре и искусству Мурманской области) </w:t>
      </w:r>
      <w:r w:rsidR="00BC04AA" w:rsidRPr="0060596D">
        <w:rPr>
          <w:rFonts w:ascii="Times New Roman" w:hAnsi="Times New Roman" w:cs="Times New Roman"/>
          <w:i/>
          <w:sz w:val="24"/>
          <w:szCs w:val="24"/>
        </w:rPr>
        <w:t xml:space="preserve">индикатор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093602" w:rsidRPr="0060596D">
        <w:rPr>
          <w:rFonts w:ascii="Times New Roman" w:eastAsia="Calibri" w:hAnsi="Times New Roman" w:cs="Times New Roman"/>
          <w:i/>
          <w:sz w:val="24"/>
          <w:szCs w:val="24"/>
        </w:rPr>
        <w:t>увеличение посещаемости библиотек городского поселения Кандалакша Кандалакшского района</w:t>
      </w:r>
      <w:r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093602" w:rsidRPr="006059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C04AA" w:rsidRPr="0060596D">
        <w:rPr>
          <w:rFonts w:ascii="Times New Roman" w:hAnsi="Times New Roman" w:cs="Times New Roman"/>
          <w:i/>
          <w:sz w:val="24"/>
          <w:szCs w:val="24"/>
        </w:rPr>
        <w:t xml:space="preserve">выполнен на 85%. </w:t>
      </w:r>
    </w:p>
    <w:p w:rsidR="00BC04AA" w:rsidRPr="00093602" w:rsidRDefault="00BC04AA" w:rsidP="006059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3602">
        <w:rPr>
          <w:rFonts w:ascii="Times New Roman" w:hAnsi="Times New Roman" w:cs="Times New Roman"/>
          <w:b/>
          <w:i/>
          <w:sz w:val="24"/>
          <w:szCs w:val="24"/>
        </w:rPr>
        <w:t>По итогам 1 квартала количество посещений составило 43400 ед.</w:t>
      </w:r>
      <w:r w:rsidR="003E2134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093602" w:rsidRPr="00093602">
        <w:rPr>
          <w:rFonts w:ascii="Times New Roman" w:hAnsi="Times New Roman" w:cs="Times New Roman"/>
          <w:b/>
          <w:i/>
          <w:sz w:val="24"/>
          <w:szCs w:val="24"/>
        </w:rPr>
        <w:t>процент выполнения данного показателя составляет 107%</w:t>
      </w:r>
      <w:r w:rsidR="003E213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93602" w:rsidRPr="0009360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91E42" w:rsidRDefault="00691E42" w:rsidP="00605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602" w:rsidRDefault="00093602" w:rsidP="00093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A88" w:rsidRPr="00093602" w:rsidRDefault="00F97A88" w:rsidP="00093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602" w:rsidRPr="00093602" w:rsidRDefault="00093602" w:rsidP="00093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602" w:rsidRPr="0060596D" w:rsidRDefault="0060596D" w:rsidP="0009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596D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</w:t>
      </w:r>
      <w:r w:rsidR="00F97A88">
        <w:rPr>
          <w:rFonts w:ascii="Times New Roman" w:hAnsi="Times New Roman" w:cs="Times New Roman"/>
          <w:sz w:val="24"/>
          <w:szCs w:val="24"/>
        </w:rPr>
        <w:tab/>
      </w:r>
      <w:r w:rsidR="00F97A88">
        <w:rPr>
          <w:rFonts w:ascii="Times New Roman" w:hAnsi="Times New Roman" w:cs="Times New Roman"/>
          <w:sz w:val="24"/>
          <w:szCs w:val="24"/>
        </w:rPr>
        <w:tab/>
      </w:r>
      <w:r w:rsidR="00F97A88">
        <w:rPr>
          <w:rFonts w:ascii="Times New Roman" w:hAnsi="Times New Roman" w:cs="Times New Roman"/>
          <w:sz w:val="24"/>
          <w:szCs w:val="24"/>
        </w:rPr>
        <w:tab/>
      </w:r>
      <w:r w:rsidR="00F97A88">
        <w:rPr>
          <w:rFonts w:ascii="Times New Roman" w:hAnsi="Times New Roman" w:cs="Times New Roman"/>
          <w:sz w:val="24"/>
          <w:szCs w:val="24"/>
        </w:rPr>
        <w:tab/>
      </w:r>
      <w:r w:rsidR="00F97A88">
        <w:rPr>
          <w:rFonts w:ascii="Times New Roman" w:hAnsi="Times New Roman" w:cs="Times New Roman"/>
          <w:sz w:val="24"/>
          <w:szCs w:val="24"/>
        </w:rPr>
        <w:tab/>
      </w:r>
      <w:r w:rsidR="00F97A88">
        <w:rPr>
          <w:rFonts w:ascii="Times New Roman" w:hAnsi="Times New Roman" w:cs="Times New Roman"/>
          <w:sz w:val="24"/>
          <w:szCs w:val="24"/>
        </w:rPr>
        <w:tab/>
      </w:r>
      <w:r w:rsidR="00F97A88">
        <w:rPr>
          <w:rFonts w:ascii="Times New Roman" w:hAnsi="Times New Roman" w:cs="Times New Roman"/>
          <w:sz w:val="24"/>
          <w:szCs w:val="24"/>
        </w:rPr>
        <w:tab/>
      </w:r>
      <w:r w:rsidR="00F97A88">
        <w:rPr>
          <w:rFonts w:ascii="Times New Roman" w:hAnsi="Times New Roman" w:cs="Times New Roman"/>
          <w:sz w:val="24"/>
          <w:szCs w:val="24"/>
        </w:rPr>
        <w:tab/>
      </w:r>
      <w:r w:rsidRPr="0060596D">
        <w:rPr>
          <w:rFonts w:ascii="Times New Roman" w:hAnsi="Times New Roman" w:cs="Times New Roman"/>
          <w:sz w:val="24"/>
          <w:szCs w:val="24"/>
        </w:rPr>
        <w:t xml:space="preserve">     А.В. Попова</w:t>
      </w:r>
    </w:p>
    <w:sectPr w:rsidR="00093602" w:rsidRPr="0060596D" w:rsidSect="00F97A88">
      <w:footerReference w:type="default" r:id="rId7"/>
      <w:pgSz w:w="16838" w:h="11906" w:orient="landscape"/>
      <w:pgMar w:top="851" w:right="678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18" w:rsidRDefault="00383F18" w:rsidP="0039000E">
      <w:pPr>
        <w:spacing w:after="0" w:line="240" w:lineRule="auto"/>
      </w:pPr>
      <w:r>
        <w:separator/>
      </w:r>
    </w:p>
  </w:endnote>
  <w:endnote w:type="continuationSeparator" w:id="0">
    <w:p w:rsidR="00383F18" w:rsidRDefault="00383F18" w:rsidP="0039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9266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9000E" w:rsidRPr="0039000E" w:rsidRDefault="0039000E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900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00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00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7A8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900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9000E" w:rsidRDefault="003900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18" w:rsidRDefault="00383F18" w:rsidP="0039000E">
      <w:pPr>
        <w:spacing w:after="0" w:line="240" w:lineRule="auto"/>
      </w:pPr>
      <w:r>
        <w:separator/>
      </w:r>
    </w:p>
  </w:footnote>
  <w:footnote w:type="continuationSeparator" w:id="0">
    <w:p w:rsidR="00383F18" w:rsidRDefault="00383F18" w:rsidP="0039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6F55"/>
    <w:multiLevelType w:val="hybridMultilevel"/>
    <w:tmpl w:val="D68C3A8C"/>
    <w:lvl w:ilvl="0" w:tplc="0FA6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E42"/>
    <w:rsid w:val="00093602"/>
    <w:rsid w:val="00383F18"/>
    <w:rsid w:val="0039000E"/>
    <w:rsid w:val="003E2134"/>
    <w:rsid w:val="00480EDE"/>
    <w:rsid w:val="0060596D"/>
    <w:rsid w:val="00691E42"/>
    <w:rsid w:val="008512A2"/>
    <w:rsid w:val="00991211"/>
    <w:rsid w:val="00BC04AA"/>
    <w:rsid w:val="00DE68EB"/>
    <w:rsid w:val="00EF2F4B"/>
    <w:rsid w:val="00F9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BCB3C-21C4-4540-BCF8-959EF31E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69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9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91E42"/>
  </w:style>
  <w:style w:type="paragraph" w:customStyle="1" w:styleId="p1">
    <w:name w:val="p1"/>
    <w:basedOn w:val="a"/>
    <w:rsid w:val="0069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1E42"/>
  </w:style>
  <w:style w:type="paragraph" w:styleId="a3">
    <w:name w:val="List Paragraph"/>
    <w:basedOn w:val="a"/>
    <w:uiPriority w:val="34"/>
    <w:qFormat/>
    <w:rsid w:val="00BC04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00E"/>
  </w:style>
  <w:style w:type="paragraph" w:styleId="a6">
    <w:name w:val="footer"/>
    <w:basedOn w:val="a"/>
    <w:link w:val="a7"/>
    <w:uiPriority w:val="99"/>
    <w:unhideWhenUsed/>
    <w:rsid w:val="0039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7</cp:revision>
  <dcterms:created xsi:type="dcterms:W3CDTF">2016-04-06T16:33:00Z</dcterms:created>
  <dcterms:modified xsi:type="dcterms:W3CDTF">2016-04-12T13:05:00Z</dcterms:modified>
</cp:coreProperties>
</file>